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07F9C139"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Pr="00D82E74">
        <w:rPr>
          <w:rFonts w:ascii="Arial" w:hAnsi="Arial" w:cs="Arial"/>
          <w:sz w:val="22"/>
        </w:rPr>
        <w:tab/>
      </w:r>
      <w:r w:rsidR="008218E2" w:rsidRPr="008218E2">
        <w:rPr>
          <w:rFonts w:ascii="Arial" w:hAnsi="Arial" w:cs="Arial"/>
          <w:sz w:val="22"/>
        </w:rPr>
        <w:t>R2-1901276</w:t>
      </w:r>
    </w:p>
    <w:p w14:paraId="312498EA" w14:textId="77777777" w:rsidR="0013686C" w:rsidRDefault="0013686C" w:rsidP="0013686C">
      <w:pPr>
        <w:pStyle w:val="3GPPHeader"/>
        <w:spacing w:after="0"/>
        <w:rPr>
          <w:rFonts w:ascii="Arial" w:hAnsi="Arial" w:cs="Arial"/>
          <w:sz w:val="22"/>
        </w:rPr>
      </w:pPr>
      <w:bookmarkStart w:id="1" w:name="_Hlk533145091"/>
      <w:bookmarkEnd w:id="0"/>
      <w:r>
        <w:rPr>
          <w:rFonts w:ascii="Arial" w:hAnsi="Arial" w:cs="Arial"/>
          <w:sz w:val="22"/>
        </w:rPr>
        <w:t>Athens</w:t>
      </w:r>
      <w:bookmarkEnd w:id="1"/>
      <w:r>
        <w:rPr>
          <w:rFonts w:ascii="Arial" w:hAnsi="Arial" w:cs="Arial"/>
          <w:sz w:val="22"/>
        </w:rPr>
        <w:t>, Greece, 25 February -</w:t>
      </w:r>
      <w:r w:rsidRPr="00551C91">
        <w:rPr>
          <w:rFonts w:ascii="Arial" w:hAnsi="Arial" w:cs="Arial"/>
          <w:sz w:val="22"/>
        </w:rPr>
        <w:t xml:space="preserve"> 1 March 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CAB5082" w:rsidR="00120D47" w:rsidRPr="00521BFD" w:rsidRDefault="00120D47" w:rsidP="00F120D3">
      <w:pPr>
        <w:pStyle w:val="3GPPHeader"/>
        <w:spacing w:after="120"/>
        <w:rPr>
          <w:rFonts w:ascii="Arial" w:hAnsi="Arial" w:cs="Arial"/>
          <w:b w:val="0"/>
          <w:sz w:val="22"/>
        </w:rPr>
      </w:pPr>
      <w:r w:rsidRPr="00521BFD">
        <w:rPr>
          <w:rFonts w:ascii="Arial" w:hAnsi="Arial" w:cs="Arial"/>
          <w:sz w:val="22"/>
        </w:rPr>
        <w:t>Agenda Item:</w:t>
      </w:r>
      <w:r w:rsidRPr="00521BFD">
        <w:rPr>
          <w:rFonts w:ascii="Arial" w:hAnsi="Arial" w:cs="Arial"/>
          <w:sz w:val="22"/>
        </w:rPr>
        <w:tab/>
      </w:r>
      <w:r w:rsidR="00356249" w:rsidRPr="00356249">
        <w:rPr>
          <w:rFonts w:ascii="Arial" w:hAnsi="Arial" w:cs="Arial"/>
          <w:b w:val="0"/>
          <w:sz w:val="22"/>
        </w:rPr>
        <w:t>11.11.5 Power consumption reduction in RRM measurements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FFE75D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21BFD" w:rsidRPr="00521BFD">
        <w:rPr>
          <w:rFonts w:ascii="Arial" w:hAnsi="Arial" w:cs="Arial"/>
          <w:b w:val="0"/>
          <w:bCs/>
          <w:sz w:val="22"/>
          <w:lang w:val="en-US"/>
        </w:rPr>
        <w:t>Relaxed R</w:t>
      </w:r>
      <w:r w:rsidR="00DB51FB">
        <w:rPr>
          <w:rFonts w:ascii="Arial" w:hAnsi="Arial" w:cs="Arial"/>
          <w:b w:val="0"/>
          <w:bCs/>
          <w:sz w:val="22"/>
          <w:lang w:val="en-US"/>
        </w:rPr>
        <w:t>R</w:t>
      </w:r>
      <w:r w:rsidR="00521BFD" w:rsidRPr="00521BFD">
        <w:rPr>
          <w:rFonts w:ascii="Arial" w:hAnsi="Arial" w:cs="Arial"/>
          <w:b w:val="0"/>
          <w:bCs/>
          <w:sz w:val="22"/>
          <w:lang w:val="en-US"/>
        </w:rPr>
        <w:t xml:space="preserve">M measurements in </w:t>
      </w:r>
      <w:r w:rsidR="00CA0DF2">
        <w:rPr>
          <w:rFonts w:ascii="Arial" w:hAnsi="Arial" w:cs="Arial"/>
          <w:b w:val="0"/>
          <w:bCs/>
          <w:sz w:val="22"/>
          <w:lang w:val="en-US"/>
        </w:rPr>
        <w:t>Connected</w:t>
      </w:r>
      <w:r w:rsidR="00521BFD" w:rsidRPr="00521BFD">
        <w:rPr>
          <w:rFonts w:ascii="Arial" w:hAnsi="Arial" w:cs="Arial"/>
          <w:b w:val="0"/>
          <w:bCs/>
          <w:sz w:val="22"/>
          <w:lang w:val="en-US"/>
        </w:rPr>
        <w:t xml:space="preser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854C950" w:rsidR="00120D47" w:rsidRDefault="004D10CC" w:rsidP="00120D47">
      <w:pPr>
        <w:pStyle w:val="Heading1"/>
      </w:pPr>
      <w:r>
        <w:t>Introduction</w:t>
      </w:r>
    </w:p>
    <w:p w14:paraId="15D3C265" w14:textId="5F81423A" w:rsidR="002661EA" w:rsidRDefault="00B467A6" w:rsidP="00B467A6">
      <w:r>
        <w:rPr>
          <w:lang w:val="en-GB" w:eastAsia="zh-CN"/>
        </w:rPr>
        <w:t xml:space="preserve">In connected mode the UE is </w:t>
      </w:r>
      <w:r w:rsidR="00963AFB">
        <w:rPr>
          <w:lang w:val="en-GB" w:eastAsia="zh-CN"/>
        </w:rPr>
        <w:t xml:space="preserve">typically </w:t>
      </w:r>
      <w:r>
        <w:rPr>
          <w:lang w:val="en-GB" w:eastAsia="zh-CN"/>
        </w:rPr>
        <w:t>configured</w:t>
      </w:r>
      <w:r w:rsidR="00B8510F">
        <w:rPr>
          <w:lang w:val="en-GB" w:eastAsia="zh-CN"/>
        </w:rPr>
        <w:t xml:space="preserve"> </w:t>
      </w:r>
      <w:r w:rsidR="007803A2">
        <w:rPr>
          <w:lang w:val="en-GB" w:eastAsia="zh-CN"/>
        </w:rPr>
        <w:t xml:space="preserve">to perform </w:t>
      </w:r>
      <w:r w:rsidR="007803A2" w:rsidRPr="00645E3C">
        <w:t>intra-frequency</w:t>
      </w:r>
      <w:r w:rsidR="007803A2">
        <w:t xml:space="preserve"> and</w:t>
      </w:r>
      <w:r w:rsidR="00F1198B">
        <w:t xml:space="preserve">/or </w:t>
      </w:r>
      <w:r w:rsidR="007803A2" w:rsidRPr="00645E3C">
        <w:t>inter-frequency</w:t>
      </w:r>
      <w:r w:rsidR="004B31A5">
        <w:t>/iRAT</w:t>
      </w:r>
      <w:r w:rsidR="007803A2" w:rsidRPr="00645E3C">
        <w:t xml:space="preserve"> </w:t>
      </w:r>
      <w:r w:rsidR="00F1198B">
        <w:t>RRM measurements to support connected mode mobility (handover)</w:t>
      </w:r>
      <w:r w:rsidR="00E832FB">
        <w:t xml:space="preserve">. </w:t>
      </w:r>
    </w:p>
    <w:p w14:paraId="4B092E67" w14:textId="0AC7D650" w:rsidR="00951CD2" w:rsidRDefault="00951CD2" w:rsidP="00B467A6">
      <w:pPr>
        <w:rPr>
          <w:lang w:val="en-GB" w:eastAsia="zh-CN"/>
        </w:rPr>
      </w:pPr>
      <w:r>
        <w:rPr>
          <w:lang w:val="en-GB" w:eastAsia="zh-CN"/>
        </w:rPr>
        <w:t xml:space="preserve">In this contribution potential </w:t>
      </w:r>
      <w:r w:rsidR="00DF5B55">
        <w:rPr>
          <w:lang w:val="en-GB" w:eastAsia="zh-CN"/>
        </w:rPr>
        <w:t xml:space="preserve">power saving enhancements to RRM measurements in connected mode are discussed. </w:t>
      </w:r>
    </w:p>
    <w:p w14:paraId="1DEB3AB7" w14:textId="648A189C" w:rsidR="00FA27C0" w:rsidRDefault="009D725A" w:rsidP="00FA27C0">
      <w:pPr>
        <w:pStyle w:val="Heading1"/>
      </w:pPr>
      <w:bookmarkStart w:id="2" w:name="_Toc242573354"/>
      <w:r>
        <w:t>Discussion</w:t>
      </w:r>
      <w:bookmarkEnd w:id="2"/>
    </w:p>
    <w:p w14:paraId="20DEFA3B" w14:textId="467E7CB9" w:rsidR="000C1CED" w:rsidRPr="00634E0E" w:rsidRDefault="00634E0E" w:rsidP="000C1CED">
      <w:r w:rsidRPr="00645E3C">
        <w:t xml:space="preserve">The IE </w:t>
      </w:r>
      <w:proofErr w:type="spellStart"/>
      <w:r w:rsidRPr="00645E3C">
        <w:rPr>
          <w:i/>
        </w:rPr>
        <w:t>MeasConfig</w:t>
      </w:r>
      <w:proofErr w:type="spellEnd"/>
      <w:r w:rsidRPr="00645E3C">
        <w:t xml:space="preserve"> specifies measurements to be performed by the UE, and covers intra-frequency, inter-frequency and inter-RAT mobility as well as configuration of measurement gaps</w:t>
      </w:r>
      <w:r>
        <w:t xml:space="preserve">. </w:t>
      </w:r>
      <w:r w:rsidR="00194F28">
        <w:rPr>
          <w:lang w:val="en-GB" w:eastAsia="zh-CN"/>
        </w:rPr>
        <w:t xml:space="preserve">The NW can configure </w:t>
      </w:r>
      <w:r w:rsidR="00194F28" w:rsidRPr="00645E3C">
        <w:rPr>
          <w:i/>
          <w:lang w:val="en-GB"/>
        </w:rPr>
        <w:t>s-</w:t>
      </w:r>
      <w:proofErr w:type="spellStart"/>
      <w:r w:rsidR="00194F28" w:rsidRPr="00645E3C">
        <w:rPr>
          <w:i/>
          <w:lang w:val="en-GB"/>
        </w:rPr>
        <w:t>MeasureConfig</w:t>
      </w:r>
      <w:proofErr w:type="spellEnd"/>
      <w:r w:rsidR="00194F28">
        <w:rPr>
          <w:i/>
          <w:lang w:val="en-GB"/>
        </w:rPr>
        <w:t xml:space="preserve"> </w:t>
      </w:r>
      <w:r w:rsidR="00194F28">
        <w:rPr>
          <w:lang w:val="en-GB"/>
        </w:rPr>
        <w:t xml:space="preserve">which allows the UE </w:t>
      </w:r>
      <w:r w:rsidR="009A4411">
        <w:rPr>
          <w:lang w:val="en-GB"/>
        </w:rPr>
        <w:t xml:space="preserve">to omit </w:t>
      </w:r>
      <w:r w:rsidR="009A4411" w:rsidRPr="00645E3C">
        <w:rPr>
          <w:lang w:val="en-GB" w:eastAsia="zh-CN"/>
        </w:rPr>
        <w:t>measurements on non-serving cells</w:t>
      </w:r>
      <w:r w:rsidR="009A4411">
        <w:rPr>
          <w:lang w:val="en-GB" w:eastAsia="zh-CN"/>
        </w:rPr>
        <w:t xml:space="preserve"> when the </w:t>
      </w:r>
      <w:proofErr w:type="spellStart"/>
      <w:r w:rsidR="009A4411">
        <w:rPr>
          <w:lang w:val="en-GB" w:eastAsia="zh-CN"/>
        </w:rPr>
        <w:t>SpCell</w:t>
      </w:r>
      <w:proofErr w:type="spellEnd"/>
      <w:r w:rsidR="009A4411">
        <w:rPr>
          <w:lang w:val="en-GB" w:eastAsia="zh-CN"/>
        </w:rPr>
        <w:t xml:space="preserve"> </w:t>
      </w:r>
      <w:r w:rsidR="00D60BD4">
        <w:rPr>
          <w:lang w:val="en-GB" w:eastAsia="zh-CN"/>
        </w:rPr>
        <w:t>is above the SBB/CSI RSRP measurements threshold</w:t>
      </w:r>
      <w:r w:rsidR="00240DC0">
        <w:rPr>
          <w:lang w:val="en-GB" w:eastAsia="zh-CN"/>
        </w:rPr>
        <w:t>:</w:t>
      </w:r>
    </w:p>
    <w:p w14:paraId="075364C2" w14:textId="5330DFD3" w:rsidR="00D60BD4" w:rsidRDefault="00D60BD4" w:rsidP="000C1CED">
      <w:pPr>
        <w:rPr>
          <w:lang w:val="en-GB"/>
        </w:rPr>
      </w:pPr>
      <w:r w:rsidRPr="00B9786F">
        <w:rPr>
          <w:b/>
          <w:lang w:val="en-GB" w:eastAsia="zh-CN"/>
        </w:rPr>
        <w:t xml:space="preserve">Observation </w:t>
      </w:r>
      <w:r>
        <w:rPr>
          <w:b/>
          <w:lang w:val="en-GB" w:eastAsia="zh-CN"/>
        </w:rPr>
        <w:t>1</w:t>
      </w:r>
      <w:r>
        <w:rPr>
          <w:lang w:val="en-GB" w:eastAsia="zh-CN"/>
        </w:rPr>
        <w:t xml:space="preserve">: Connected mode power saving </w:t>
      </w:r>
      <w:r w:rsidR="00634E0E">
        <w:rPr>
          <w:lang w:val="en-GB" w:eastAsia="zh-CN"/>
        </w:rPr>
        <w:t>is supported</w:t>
      </w:r>
      <w:r>
        <w:rPr>
          <w:lang w:val="en-GB" w:eastAsia="zh-CN"/>
        </w:rPr>
        <w:t xml:space="preserve"> using</w:t>
      </w:r>
      <w:r w:rsidRPr="00D60BD4">
        <w:rPr>
          <w:i/>
          <w:lang w:val="en-GB"/>
        </w:rPr>
        <w:t xml:space="preserve"> </w:t>
      </w:r>
      <w:r w:rsidRPr="00645E3C">
        <w:rPr>
          <w:i/>
          <w:lang w:val="en-GB"/>
        </w:rPr>
        <w:t>s-</w:t>
      </w:r>
      <w:proofErr w:type="spellStart"/>
      <w:r w:rsidRPr="00645E3C">
        <w:rPr>
          <w:i/>
          <w:lang w:val="en-GB"/>
        </w:rPr>
        <w:t>MeasureConfig</w:t>
      </w:r>
      <w:proofErr w:type="spellEnd"/>
      <w:r>
        <w:rPr>
          <w:lang w:val="en-GB"/>
        </w:rPr>
        <w:t>.</w:t>
      </w:r>
    </w:p>
    <w:p w14:paraId="5DEBEE85" w14:textId="3195851F" w:rsidR="00D60BD4" w:rsidRDefault="00C00EEC" w:rsidP="000C1CED">
      <w:pPr>
        <w:rPr>
          <w:lang w:val="en-GB" w:eastAsia="zh-CN"/>
        </w:rPr>
      </w:pPr>
      <w:r>
        <w:rPr>
          <w:lang w:val="en-GB" w:eastAsia="zh-CN"/>
        </w:rPr>
        <w:t xml:space="preserve">To support connected mode mobility the NW typically configures </w:t>
      </w:r>
      <w:proofErr w:type="gramStart"/>
      <w:r>
        <w:rPr>
          <w:lang w:val="en-GB" w:eastAsia="zh-CN"/>
        </w:rPr>
        <w:t>event based</w:t>
      </w:r>
      <w:proofErr w:type="gramEnd"/>
      <w:r>
        <w:rPr>
          <w:lang w:val="en-GB" w:eastAsia="zh-CN"/>
        </w:rPr>
        <w:t xml:space="preserve"> measurement reporting, i.e. only when the measurement reporting criteria are met the UE is required to report. </w:t>
      </w:r>
      <w:r w:rsidR="00A9211A">
        <w:rPr>
          <w:lang w:val="en-GB" w:eastAsia="zh-CN"/>
        </w:rPr>
        <w:t xml:space="preserve">Connected mode mobility </w:t>
      </w:r>
      <w:r w:rsidR="006D2AC9">
        <w:rPr>
          <w:lang w:val="en-GB" w:eastAsia="zh-CN"/>
        </w:rPr>
        <w:t>is a critical aspect concerning the user experience</w:t>
      </w:r>
      <w:r w:rsidR="00825B89">
        <w:rPr>
          <w:lang w:val="en-GB" w:eastAsia="zh-CN"/>
        </w:rPr>
        <w:t xml:space="preserve">. </w:t>
      </w:r>
      <w:r w:rsidR="002C6635">
        <w:rPr>
          <w:lang w:val="en-GB" w:eastAsia="zh-CN"/>
        </w:rPr>
        <w:t>T</w:t>
      </w:r>
      <w:r w:rsidR="006D2AC9">
        <w:rPr>
          <w:lang w:val="en-GB" w:eastAsia="zh-CN"/>
        </w:rPr>
        <w:t xml:space="preserve">o </w:t>
      </w:r>
      <w:r w:rsidR="000720FC">
        <w:rPr>
          <w:lang w:val="en-GB" w:eastAsia="zh-CN"/>
        </w:rPr>
        <w:t xml:space="preserve">make </w:t>
      </w:r>
      <w:r w:rsidR="002C6635">
        <w:rPr>
          <w:lang w:val="en-GB" w:eastAsia="zh-CN"/>
        </w:rPr>
        <w:t>mobility</w:t>
      </w:r>
      <w:r w:rsidR="000720FC">
        <w:rPr>
          <w:lang w:val="en-GB" w:eastAsia="zh-CN"/>
        </w:rPr>
        <w:t xml:space="preserve"> </w:t>
      </w:r>
      <w:r w:rsidR="0083419C">
        <w:rPr>
          <w:lang w:val="en-GB" w:eastAsia="zh-CN"/>
        </w:rPr>
        <w:t xml:space="preserve">quicker and more robust </w:t>
      </w:r>
      <w:r w:rsidR="002C6635">
        <w:rPr>
          <w:lang w:val="en-GB" w:eastAsia="zh-CN"/>
        </w:rPr>
        <w:t>is being evaluated in the REL-16 work item on mobility enhancements</w:t>
      </w:r>
      <w:r w:rsidR="006E5407">
        <w:rPr>
          <w:lang w:val="en-GB" w:eastAsia="zh-CN"/>
        </w:rPr>
        <w:t xml:space="preserve"> [1]</w:t>
      </w:r>
      <w:r w:rsidR="00E33F2C">
        <w:rPr>
          <w:lang w:val="en-GB" w:eastAsia="zh-CN"/>
        </w:rPr>
        <w:t xml:space="preserve">: </w:t>
      </w:r>
    </w:p>
    <w:p w14:paraId="483C3A52" w14:textId="134D2434" w:rsidR="004D2059" w:rsidRDefault="004D2059" w:rsidP="004D2059">
      <w:pPr>
        <w:rPr>
          <w:lang w:val="en-GB" w:eastAsia="zh-CN"/>
        </w:rPr>
      </w:pPr>
      <w:r w:rsidRPr="00B9786F">
        <w:rPr>
          <w:b/>
          <w:lang w:val="en-GB" w:eastAsia="zh-CN"/>
        </w:rPr>
        <w:t>Observation 2</w:t>
      </w:r>
      <w:r>
        <w:rPr>
          <w:lang w:val="en-GB" w:eastAsia="zh-CN"/>
        </w:rPr>
        <w:t>: In case events based RRM measurements are triggered in connected mode, RRM measurements cannot be relaxed without the risk of compromising handover quality and robustness.</w:t>
      </w:r>
    </w:p>
    <w:p w14:paraId="22E4AF8B" w14:textId="07FD0C31" w:rsidR="004D2059" w:rsidRPr="00160757" w:rsidRDefault="00160757" w:rsidP="00873F20">
      <w:pPr>
        <w:rPr>
          <w:lang w:val="en-GB" w:eastAsia="zh-CN"/>
        </w:rPr>
      </w:pPr>
      <w:r w:rsidRPr="00160757">
        <w:rPr>
          <w:lang w:val="en-GB" w:eastAsia="zh-CN"/>
        </w:rPr>
        <w:t xml:space="preserve">The </w:t>
      </w:r>
      <w:r>
        <w:rPr>
          <w:lang w:val="en-GB" w:eastAsia="zh-CN"/>
        </w:rPr>
        <w:t>NW can be conservative in the configuration o</w:t>
      </w:r>
      <w:r w:rsidR="003B1E9A">
        <w:rPr>
          <w:lang w:val="en-GB" w:eastAsia="zh-CN"/>
        </w:rPr>
        <w:t xml:space="preserve">f periodic measurements and settings for </w:t>
      </w:r>
      <w:proofErr w:type="gramStart"/>
      <w:r w:rsidR="003B1E9A">
        <w:rPr>
          <w:lang w:val="en-GB" w:eastAsia="zh-CN"/>
        </w:rPr>
        <w:t>event based</w:t>
      </w:r>
      <w:proofErr w:type="gramEnd"/>
      <w:r w:rsidR="003B1E9A">
        <w:rPr>
          <w:lang w:val="en-GB" w:eastAsia="zh-CN"/>
        </w:rPr>
        <w:t xml:space="preserve"> measurements to save power for measurements in connected mode: </w:t>
      </w:r>
    </w:p>
    <w:p w14:paraId="69647AAE" w14:textId="4E96639A" w:rsidR="00873F20" w:rsidRDefault="00873F20" w:rsidP="00873F20">
      <w:pPr>
        <w:rPr>
          <w:lang w:val="en-GB" w:eastAsia="zh-CN"/>
        </w:rPr>
      </w:pPr>
      <w:r w:rsidRPr="00B9786F">
        <w:rPr>
          <w:b/>
          <w:lang w:val="en-GB" w:eastAsia="zh-CN"/>
        </w:rPr>
        <w:t xml:space="preserve">Observation </w:t>
      </w:r>
      <w:r w:rsidR="003B1E9A">
        <w:rPr>
          <w:b/>
          <w:lang w:val="en-GB" w:eastAsia="zh-CN"/>
        </w:rPr>
        <w:t>3</w:t>
      </w:r>
      <w:r>
        <w:rPr>
          <w:lang w:val="en-GB" w:eastAsia="zh-CN"/>
        </w:rPr>
        <w:t xml:space="preserve">: NW can </w:t>
      </w:r>
      <w:r w:rsidR="002779E5">
        <w:rPr>
          <w:lang w:val="en-GB" w:eastAsia="zh-CN"/>
        </w:rPr>
        <w:t>configure power friendly</w:t>
      </w:r>
      <w:r>
        <w:rPr>
          <w:lang w:val="en-GB" w:eastAsia="zh-CN"/>
        </w:rPr>
        <w:t xml:space="preserve"> RRM measurement</w:t>
      </w:r>
      <w:r w:rsidR="002779E5">
        <w:rPr>
          <w:lang w:val="en-GB" w:eastAsia="zh-CN"/>
        </w:rPr>
        <w:t>s in connected mode</w:t>
      </w:r>
      <w:r w:rsidR="006B2D0A">
        <w:rPr>
          <w:lang w:val="en-GB" w:eastAsia="zh-CN"/>
        </w:rPr>
        <w:t>.</w:t>
      </w:r>
    </w:p>
    <w:p w14:paraId="378A6009" w14:textId="5F77E964" w:rsidR="00887F64" w:rsidRDefault="00887F64" w:rsidP="00887F64">
      <w:pPr>
        <w:rPr>
          <w:lang w:val="en-GB" w:eastAsia="zh-CN"/>
        </w:rPr>
      </w:pPr>
      <w:r>
        <w:rPr>
          <w:lang w:val="en-GB" w:eastAsia="zh-CN"/>
        </w:rPr>
        <w:t xml:space="preserve">In most cases when measurements are triggered in the UE, because the UE drops below the </w:t>
      </w:r>
      <w:r w:rsidRPr="00602E17">
        <w:rPr>
          <w:i/>
          <w:lang w:val="en-GB" w:eastAsia="zh-CN"/>
        </w:rPr>
        <w:t>s-</w:t>
      </w:r>
      <w:proofErr w:type="spellStart"/>
      <w:r w:rsidRPr="00602E17">
        <w:rPr>
          <w:i/>
          <w:lang w:val="en-GB" w:eastAsia="zh-CN"/>
        </w:rPr>
        <w:t>MeasureConfig</w:t>
      </w:r>
      <w:proofErr w:type="spellEnd"/>
      <w:r>
        <w:rPr>
          <w:lang w:val="en-GB" w:eastAsia="zh-CN"/>
        </w:rPr>
        <w:t xml:space="preserve"> threshold, these measurements are assumed to be temporarily due to mobility, i.e. at some point in time (</w:t>
      </w:r>
      <w:r w:rsidR="00153E6C">
        <w:rPr>
          <w:lang w:val="en-GB" w:eastAsia="zh-CN"/>
        </w:rPr>
        <w:t>e.g. afte</w:t>
      </w:r>
      <w:bookmarkStart w:id="3" w:name="_GoBack"/>
      <w:bookmarkEnd w:id="3"/>
      <w:r w:rsidR="00153E6C">
        <w:rPr>
          <w:lang w:val="en-GB" w:eastAsia="zh-CN"/>
        </w:rPr>
        <w:t>r HO</w:t>
      </w:r>
      <w:r>
        <w:rPr>
          <w:lang w:val="en-GB" w:eastAsia="zh-CN"/>
        </w:rPr>
        <w:t>) the UE can be assumed to enter good coverage where measurements are not required. For those cases where the UE remains in “bad” coverage, and continuous measurements are required, the NW could report to the UE that all possible cells/frequencies have been reported, and that the UE can refrain from detecting new cells</w:t>
      </w:r>
      <w:r w:rsidR="00C02438">
        <w:rPr>
          <w:lang w:val="en-GB" w:eastAsia="zh-CN"/>
        </w:rPr>
        <w:t>, i.e. performing cell search</w:t>
      </w:r>
      <w:r>
        <w:rPr>
          <w:lang w:val="en-GB" w:eastAsia="zh-CN"/>
        </w:rPr>
        <w:t xml:space="preserve">, which is the most power consuming measurement activity. The UE can then continue to only </w:t>
      </w:r>
      <w:proofErr w:type="gramStart"/>
      <w:r>
        <w:rPr>
          <w:lang w:val="en-GB" w:eastAsia="zh-CN"/>
        </w:rPr>
        <w:t>measure</w:t>
      </w:r>
      <w:proofErr w:type="gramEnd"/>
      <w:r>
        <w:rPr>
          <w:lang w:val="en-GB" w:eastAsia="zh-CN"/>
        </w:rPr>
        <w:t xml:space="preserve"> and report already detected cells:</w:t>
      </w:r>
    </w:p>
    <w:p w14:paraId="12019C94" w14:textId="01BDEE31" w:rsidR="00887F64" w:rsidRDefault="00887F64" w:rsidP="00DE7F6E">
      <w:pPr>
        <w:rPr>
          <w:lang w:val="en-GB" w:eastAsia="zh-CN"/>
        </w:rPr>
      </w:pPr>
      <w:r w:rsidRPr="00887F64">
        <w:rPr>
          <w:b/>
          <w:lang w:val="en-GB" w:eastAsia="zh-CN"/>
        </w:rPr>
        <w:t xml:space="preserve">Proposal </w:t>
      </w:r>
      <w:r w:rsidR="008E12D8">
        <w:rPr>
          <w:b/>
          <w:lang w:val="en-GB" w:eastAsia="zh-CN"/>
        </w:rPr>
        <w:t>1</w:t>
      </w:r>
      <w:r>
        <w:rPr>
          <w:lang w:val="en-GB" w:eastAsia="zh-CN"/>
        </w:rPr>
        <w:t xml:space="preserve">: RAN2 to study </w:t>
      </w:r>
      <w:r w:rsidR="00187D92">
        <w:rPr>
          <w:lang w:val="en-GB" w:eastAsia="zh-CN"/>
        </w:rPr>
        <w:t xml:space="preserve">if it is beneficial to indicate to the UE to omit detection of new cells, when the UE already has reported all cells </w:t>
      </w:r>
      <w:r w:rsidR="00EE02E5">
        <w:rPr>
          <w:lang w:val="en-GB" w:eastAsia="zh-CN"/>
        </w:rPr>
        <w:t>that can be detected.</w:t>
      </w:r>
    </w:p>
    <w:p w14:paraId="5E650D32" w14:textId="77777777" w:rsidR="009D725A" w:rsidRDefault="009D725A" w:rsidP="009D725A">
      <w:pPr>
        <w:pStyle w:val="Heading1"/>
        <w:jc w:val="both"/>
      </w:pPr>
      <w:bookmarkStart w:id="4" w:name="_Toc242573360"/>
      <w:r>
        <w:lastRenderedPageBreak/>
        <w:t>Summary</w:t>
      </w:r>
      <w:bookmarkEnd w:id="4"/>
    </w:p>
    <w:p w14:paraId="65B81F03" w14:textId="623AF8A2" w:rsidR="001659F2" w:rsidRDefault="001659F2" w:rsidP="001659F2">
      <w:bookmarkStart w:id="5" w:name="_Toc242573361"/>
      <w:r>
        <w:t xml:space="preserve">RAN2 is kindly asked to </w:t>
      </w:r>
      <w:r w:rsidR="00910638">
        <w:t xml:space="preserve">discuss </w:t>
      </w:r>
      <w:r w:rsidR="005B7724">
        <w:t>r</w:t>
      </w:r>
      <w:r w:rsidR="005B7724" w:rsidRPr="005B7724">
        <w:t>elaxed RMM measurements in Connected mode</w:t>
      </w:r>
      <w:r>
        <w:t xml:space="preserve">: </w:t>
      </w:r>
    </w:p>
    <w:p w14:paraId="74F96CBE" w14:textId="77777777" w:rsidR="005B7724" w:rsidRDefault="005B7724" w:rsidP="005B7724">
      <w:pPr>
        <w:rPr>
          <w:lang w:val="en-GB"/>
        </w:rPr>
      </w:pPr>
      <w:r w:rsidRPr="00B9786F">
        <w:rPr>
          <w:b/>
          <w:lang w:val="en-GB" w:eastAsia="zh-CN"/>
        </w:rPr>
        <w:t xml:space="preserve">Observation </w:t>
      </w:r>
      <w:r>
        <w:rPr>
          <w:b/>
          <w:lang w:val="en-GB" w:eastAsia="zh-CN"/>
        </w:rPr>
        <w:t>1</w:t>
      </w:r>
      <w:r>
        <w:rPr>
          <w:lang w:val="en-GB" w:eastAsia="zh-CN"/>
        </w:rPr>
        <w:t>: Connected mode power saving is supported using</w:t>
      </w:r>
      <w:r w:rsidRPr="00D60BD4">
        <w:rPr>
          <w:i/>
          <w:lang w:val="en-GB"/>
        </w:rPr>
        <w:t xml:space="preserve"> </w:t>
      </w:r>
      <w:r w:rsidRPr="00645E3C">
        <w:rPr>
          <w:i/>
          <w:lang w:val="en-GB"/>
        </w:rPr>
        <w:t>s-</w:t>
      </w:r>
      <w:proofErr w:type="spellStart"/>
      <w:r w:rsidRPr="00645E3C">
        <w:rPr>
          <w:i/>
          <w:lang w:val="en-GB"/>
        </w:rPr>
        <w:t>MeasureConfig</w:t>
      </w:r>
      <w:proofErr w:type="spellEnd"/>
      <w:r>
        <w:rPr>
          <w:lang w:val="en-GB"/>
        </w:rPr>
        <w:t>.</w:t>
      </w:r>
    </w:p>
    <w:p w14:paraId="32607BCD" w14:textId="77777777" w:rsidR="005B7724" w:rsidRDefault="005B7724" w:rsidP="005B7724">
      <w:pPr>
        <w:rPr>
          <w:lang w:val="en-GB" w:eastAsia="zh-CN"/>
        </w:rPr>
      </w:pPr>
      <w:r w:rsidRPr="00B9786F">
        <w:rPr>
          <w:b/>
          <w:lang w:val="en-GB" w:eastAsia="zh-CN"/>
        </w:rPr>
        <w:t>Observation 2</w:t>
      </w:r>
      <w:r>
        <w:rPr>
          <w:lang w:val="en-GB" w:eastAsia="zh-CN"/>
        </w:rPr>
        <w:t>: In case events based RRM measurements are triggered in connected mode, RRM measurements cannot be relaxed without the risk of compromising handover quality and robustness.</w:t>
      </w:r>
    </w:p>
    <w:p w14:paraId="7C56EC31" w14:textId="77777777" w:rsidR="005B7724" w:rsidRDefault="005B7724" w:rsidP="005B7724">
      <w:pPr>
        <w:rPr>
          <w:lang w:val="en-GB" w:eastAsia="zh-CN"/>
        </w:rPr>
      </w:pPr>
      <w:r w:rsidRPr="00B9786F">
        <w:rPr>
          <w:b/>
          <w:lang w:val="en-GB" w:eastAsia="zh-CN"/>
        </w:rPr>
        <w:t xml:space="preserve">Observation </w:t>
      </w:r>
      <w:r>
        <w:rPr>
          <w:b/>
          <w:lang w:val="en-GB" w:eastAsia="zh-CN"/>
        </w:rPr>
        <w:t>3</w:t>
      </w:r>
      <w:r>
        <w:rPr>
          <w:lang w:val="en-GB" w:eastAsia="zh-CN"/>
        </w:rPr>
        <w:t>: NW can configure power friendly RRM measurements in connected mode</w:t>
      </w:r>
    </w:p>
    <w:p w14:paraId="538E0965" w14:textId="77777777" w:rsidR="00C02438" w:rsidRDefault="00C02438" w:rsidP="00C02438">
      <w:pPr>
        <w:rPr>
          <w:lang w:val="en-GB" w:eastAsia="zh-CN"/>
        </w:rPr>
      </w:pPr>
      <w:r w:rsidRPr="00887F64">
        <w:rPr>
          <w:b/>
          <w:lang w:val="en-GB" w:eastAsia="zh-CN"/>
        </w:rPr>
        <w:t xml:space="preserve">Proposal </w:t>
      </w:r>
      <w:r>
        <w:rPr>
          <w:b/>
          <w:lang w:val="en-GB" w:eastAsia="zh-CN"/>
        </w:rPr>
        <w:t>1</w:t>
      </w:r>
      <w:r>
        <w:rPr>
          <w:lang w:val="en-GB" w:eastAsia="zh-CN"/>
        </w:rPr>
        <w:t>: RAN2 to study if it is beneficial to indicate to the UE to omit detection of new cells, when the UE already has reported all cells that can be detected.</w:t>
      </w:r>
    </w:p>
    <w:p w14:paraId="5A15FD36" w14:textId="77777777" w:rsidR="009D725A" w:rsidRDefault="009D725A" w:rsidP="009D725A">
      <w:pPr>
        <w:pStyle w:val="Heading1"/>
        <w:rPr>
          <w:noProof/>
        </w:rPr>
      </w:pPr>
      <w:r>
        <w:rPr>
          <w:noProof/>
        </w:rPr>
        <w:t>References</w:t>
      </w:r>
      <w:bookmarkEnd w:id="5"/>
    </w:p>
    <w:p w14:paraId="19BA2F7F" w14:textId="070F59D7" w:rsidR="00F329E5" w:rsidRPr="00F329E5" w:rsidRDefault="006810D2" w:rsidP="009F02FA">
      <w:pPr>
        <w:numPr>
          <w:ilvl w:val="0"/>
          <w:numId w:val="1"/>
        </w:numPr>
        <w:overflowPunct w:val="0"/>
        <w:autoSpaceDE w:val="0"/>
        <w:autoSpaceDN w:val="0"/>
        <w:adjustRightInd w:val="0"/>
        <w:spacing w:after="180"/>
        <w:textAlignment w:val="baseline"/>
        <w:rPr>
          <w:rFonts w:cs="Arial"/>
          <w:sz w:val="16"/>
          <w:szCs w:val="16"/>
          <w:lang w:val="de-DE"/>
        </w:rPr>
      </w:pPr>
      <w:hyperlink r:id="rId7" w:history="1">
        <w:r w:rsidR="00F329E5">
          <w:rPr>
            <w:rStyle w:val="Hyperlink"/>
            <w:rFonts w:cs="Arial"/>
            <w:sz w:val="16"/>
            <w:szCs w:val="16"/>
            <w:lang w:val="de-DE"/>
          </w:rPr>
          <w:t>RP-181433</w:t>
        </w:r>
      </w:hyperlink>
      <w:r w:rsidR="00F329E5" w:rsidRPr="00F329E5">
        <w:rPr>
          <w:rFonts w:cs="Arial"/>
          <w:sz w:val="16"/>
          <w:szCs w:val="16"/>
          <w:lang w:val="de-DE"/>
        </w:rPr>
        <w:t xml:space="preserve">, </w:t>
      </w:r>
      <w:r w:rsidR="00287A7F" w:rsidRPr="00825B89">
        <w:rPr>
          <w:rFonts w:cs="Arial"/>
          <w:i/>
          <w:sz w:val="16"/>
          <w:szCs w:val="16"/>
          <w:lang w:val="de-DE"/>
        </w:rPr>
        <w:t>NR mobility enhancements</w:t>
      </w:r>
      <w:r w:rsidR="00F329E5" w:rsidRPr="00F329E5">
        <w:rPr>
          <w:rFonts w:cs="Arial"/>
          <w:sz w:val="16"/>
          <w:szCs w:val="16"/>
          <w:lang w:val="de-DE"/>
        </w:rPr>
        <w:t xml:space="preserve">, </w:t>
      </w:r>
      <w:r w:rsidR="00F7536B">
        <w:rPr>
          <w:rFonts w:cs="Arial"/>
          <w:sz w:val="16"/>
          <w:szCs w:val="16"/>
          <w:lang w:val="de-DE"/>
        </w:rPr>
        <w:t xml:space="preserve">RAN2, </w:t>
      </w:r>
      <w:r w:rsidR="00287A7F">
        <w:rPr>
          <w:rFonts w:cs="Arial"/>
          <w:sz w:val="16"/>
          <w:szCs w:val="16"/>
          <w:lang w:val="de-DE"/>
        </w:rPr>
        <w:t>WID, RAN</w:t>
      </w:r>
      <w:r w:rsidR="00825B89">
        <w:rPr>
          <w:rFonts w:cs="Arial"/>
          <w:sz w:val="16"/>
          <w:szCs w:val="16"/>
          <w:lang w:val="de-DE"/>
        </w:rPr>
        <w:t>#80</w:t>
      </w:r>
    </w:p>
    <w:p w14:paraId="55342FF4" w14:textId="77777777" w:rsidR="00DF5B55" w:rsidRPr="003F74C5" w:rsidRDefault="00DF5B55" w:rsidP="00682662">
      <w:pPr>
        <w:tabs>
          <w:tab w:val="num" w:pos="993"/>
        </w:tabs>
        <w:overflowPunct w:val="0"/>
        <w:autoSpaceDE w:val="0"/>
        <w:autoSpaceDN w:val="0"/>
        <w:adjustRightInd w:val="0"/>
        <w:spacing w:after="180"/>
        <w:textAlignment w:val="baseline"/>
        <w:rPr>
          <w:rFonts w:cs="Arial"/>
          <w:lang w:val="de-DE"/>
        </w:rPr>
      </w:pPr>
    </w:p>
    <w:sectPr w:rsidR="00DF5B55" w:rsidRPr="003F74C5"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87579" w14:textId="77777777" w:rsidR="006810D2" w:rsidRDefault="006810D2">
      <w:r>
        <w:separator/>
      </w:r>
    </w:p>
  </w:endnote>
  <w:endnote w:type="continuationSeparator" w:id="0">
    <w:p w14:paraId="376B4C8D" w14:textId="77777777" w:rsidR="006810D2" w:rsidRDefault="0068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4D"/>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88C54" w14:textId="77777777" w:rsidR="006810D2" w:rsidRDefault="006810D2">
      <w:r>
        <w:separator/>
      </w:r>
    </w:p>
  </w:footnote>
  <w:footnote w:type="continuationSeparator" w:id="0">
    <w:p w14:paraId="1EEF7374" w14:textId="77777777" w:rsidR="006810D2" w:rsidRDefault="00681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D72FD3"/>
    <w:multiLevelType w:val="hybridMultilevel"/>
    <w:tmpl w:val="F3D4A33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CE6772"/>
    <w:multiLevelType w:val="hybridMultilevel"/>
    <w:tmpl w:val="9DE26AF2"/>
    <w:lvl w:ilvl="0" w:tplc="617C3DEA">
      <w:start w:val="1"/>
      <w:numFmt w:val="bullet"/>
      <w:lvlText w:val="›"/>
      <w:lvlJc w:val="left"/>
      <w:pPr>
        <w:tabs>
          <w:tab w:val="num" w:pos="720"/>
        </w:tabs>
        <w:ind w:left="720" w:hanging="360"/>
      </w:pPr>
      <w:rPr>
        <w:rFonts w:ascii="Arial" w:hAnsi="Arial" w:hint="default"/>
      </w:rPr>
    </w:lvl>
    <w:lvl w:ilvl="1" w:tplc="9A64668C">
      <w:start w:val="114"/>
      <w:numFmt w:val="bullet"/>
      <w:lvlText w:val="–"/>
      <w:lvlJc w:val="left"/>
      <w:pPr>
        <w:tabs>
          <w:tab w:val="num" w:pos="1440"/>
        </w:tabs>
        <w:ind w:left="1440" w:hanging="360"/>
      </w:pPr>
      <w:rPr>
        <w:rFonts w:ascii="Ericsson Capital TT" w:hAnsi="Ericsson Capital TT" w:hint="default"/>
      </w:rPr>
    </w:lvl>
    <w:lvl w:ilvl="2" w:tplc="983EF29E">
      <w:start w:val="114"/>
      <w:numFmt w:val="bullet"/>
      <w:lvlText w:val="›"/>
      <w:lvlJc w:val="left"/>
      <w:pPr>
        <w:tabs>
          <w:tab w:val="num" w:pos="2160"/>
        </w:tabs>
        <w:ind w:left="2160" w:hanging="360"/>
      </w:pPr>
      <w:rPr>
        <w:rFonts w:ascii="Ericsson Capital TT" w:hAnsi="Ericsson Capital TT" w:hint="default"/>
      </w:rPr>
    </w:lvl>
    <w:lvl w:ilvl="3" w:tplc="413E6630" w:tentative="1">
      <w:start w:val="1"/>
      <w:numFmt w:val="bullet"/>
      <w:lvlText w:val="›"/>
      <w:lvlJc w:val="left"/>
      <w:pPr>
        <w:tabs>
          <w:tab w:val="num" w:pos="2880"/>
        </w:tabs>
        <w:ind w:left="2880" w:hanging="360"/>
      </w:pPr>
      <w:rPr>
        <w:rFonts w:ascii="Arial" w:hAnsi="Arial" w:hint="default"/>
      </w:rPr>
    </w:lvl>
    <w:lvl w:ilvl="4" w:tplc="C122D460" w:tentative="1">
      <w:start w:val="1"/>
      <w:numFmt w:val="bullet"/>
      <w:lvlText w:val="›"/>
      <w:lvlJc w:val="left"/>
      <w:pPr>
        <w:tabs>
          <w:tab w:val="num" w:pos="3600"/>
        </w:tabs>
        <w:ind w:left="3600" w:hanging="360"/>
      </w:pPr>
      <w:rPr>
        <w:rFonts w:ascii="Arial" w:hAnsi="Arial" w:hint="default"/>
      </w:rPr>
    </w:lvl>
    <w:lvl w:ilvl="5" w:tplc="1B50477E" w:tentative="1">
      <w:start w:val="1"/>
      <w:numFmt w:val="bullet"/>
      <w:lvlText w:val="›"/>
      <w:lvlJc w:val="left"/>
      <w:pPr>
        <w:tabs>
          <w:tab w:val="num" w:pos="4320"/>
        </w:tabs>
        <w:ind w:left="4320" w:hanging="360"/>
      </w:pPr>
      <w:rPr>
        <w:rFonts w:ascii="Arial" w:hAnsi="Arial" w:hint="default"/>
      </w:rPr>
    </w:lvl>
    <w:lvl w:ilvl="6" w:tplc="24B2289C" w:tentative="1">
      <w:start w:val="1"/>
      <w:numFmt w:val="bullet"/>
      <w:lvlText w:val="›"/>
      <w:lvlJc w:val="left"/>
      <w:pPr>
        <w:tabs>
          <w:tab w:val="num" w:pos="5040"/>
        </w:tabs>
        <w:ind w:left="5040" w:hanging="360"/>
      </w:pPr>
      <w:rPr>
        <w:rFonts w:ascii="Arial" w:hAnsi="Arial" w:hint="default"/>
      </w:rPr>
    </w:lvl>
    <w:lvl w:ilvl="7" w:tplc="4D44839E" w:tentative="1">
      <w:start w:val="1"/>
      <w:numFmt w:val="bullet"/>
      <w:lvlText w:val="›"/>
      <w:lvlJc w:val="left"/>
      <w:pPr>
        <w:tabs>
          <w:tab w:val="num" w:pos="5760"/>
        </w:tabs>
        <w:ind w:left="5760" w:hanging="360"/>
      </w:pPr>
      <w:rPr>
        <w:rFonts w:ascii="Arial" w:hAnsi="Arial" w:hint="default"/>
      </w:rPr>
    </w:lvl>
    <w:lvl w:ilvl="8" w:tplc="B6A671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6"/>
  </w:num>
  <w:num w:numId="3">
    <w:abstractNumId w:val="18"/>
  </w:num>
  <w:num w:numId="4">
    <w:abstractNumId w:val="11"/>
  </w:num>
  <w:num w:numId="5">
    <w:abstractNumId w:val="37"/>
  </w:num>
  <w:num w:numId="6">
    <w:abstractNumId w:val="22"/>
  </w:num>
  <w:num w:numId="7">
    <w:abstractNumId w:val="34"/>
  </w:num>
  <w:num w:numId="8">
    <w:abstractNumId w:val="39"/>
  </w:num>
  <w:num w:numId="9">
    <w:abstractNumId w:val="13"/>
  </w:num>
  <w:num w:numId="10">
    <w:abstractNumId w:val="21"/>
  </w:num>
  <w:num w:numId="11">
    <w:abstractNumId w:val="17"/>
  </w:num>
  <w:num w:numId="12">
    <w:abstractNumId w:val="42"/>
  </w:num>
  <w:num w:numId="13">
    <w:abstractNumId w:val="15"/>
  </w:num>
  <w:num w:numId="14">
    <w:abstractNumId w:val="23"/>
  </w:num>
  <w:num w:numId="15">
    <w:abstractNumId w:val="38"/>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6"/>
  </w:num>
  <w:num w:numId="29">
    <w:abstractNumId w:val="40"/>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8"/>
  </w:num>
  <w:num w:numId="36">
    <w:abstractNumId w:val="27"/>
  </w:num>
  <w:num w:numId="37">
    <w:abstractNumId w:val="30"/>
  </w:num>
  <w:num w:numId="38">
    <w:abstractNumId w:val="33"/>
  </w:num>
  <w:num w:numId="39">
    <w:abstractNumId w:val="41"/>
  </w:num>
  <w:num w:numId="40">
    <w:abstractNumId w:val="35"/>
  </w:num>
  <w:num w:numId="41">
    <w:abstractNumId w:val="31"/>
  </w:num>
  <w:num w:numId="42">
    <w:abstractNumId w:val="14"/>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061"/>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20FC"/>
    <w:rsid w:val="0007655C"/>
    <w:rsid w:val="00080B58"/>
    <w:rsid w:val="00080D29"/>
    <w:rsid w:val="00081027"/>
    <w:rsid w:val="0008686B"/>
    <w:rsid w:val="00093D0A"/>
    <w:rsid w:val="0009603A"/>
    <w:rsid w:val="000A20E0"/>
    <w:rsid w:val="000A360E"/>
    <w:rsid w:val="000A7088"/>
    <w:rsid w:val="000A7328"/>
    <w:rsid w:val="000A787E"/>
    <w:rsid w:val="000B2AED"/>
    <w:rsid w:val="000B47D4"/>
    <w:rsid w:val="000B593C"/>
    <w:rsid w:val="000C0661"/>
    <w:rsid w:val="000C1CED"/>
    <w:rsid w:val="000C2CCE"/>
    <w:rsid w:val="000C3430"/>
    <w:rsid w:val="000C4330"/>
    <w:rsid w:val="000C6C63"/>
    <w:rsid w:val="000D0D00"/>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3E6C"/>
    <w:rsid w:val="00160757"/>
    <w:rsid w:val="00164767"/>
    <w:rsid w:val="001648FB"/>
    <w:rsid w:val="001659F2"/>
    <w:rsid w:val="00172C20"/>
    <w:rsid w:val="0018431E"/>
    <w:rsid w:val="001845B1"/>
    <w:rsid w:val="00187D92"/>
    <w:rsid w:val="00191C5C"/>
    <w:rsid w:val="001924EE"/>
    <w:rsid w:val="00192610"/>
    <w:rsid w:val="00194E7F"/>
    <w:rsid w:val="00194F28"/>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27052"/>
    <w:rsid w:val="0023429F"/>
    <w:rsid w:val="00236881"/>
    <w:rsid w:val="00240DC0"/>
    <w:rsid w:val="00241371"/>
    <w:rsid w:val="00241971"/>
    <w:rsid w:val="00244267"/>
    <w:rsid w:val="00250587"/>
    <w:rsid w:val="00260EC7"/>
    <w:rsid w:val="002661EA"/>
    <w:rsid w:val="002733D0"/>
    <w:rsid w:val="00273C32"/>
    <w:rsid w:val="00274E81"/>
    <w:rsid w:val="002779E5"/>
    <w:rsid w:val="00281BCA"/>
    <w:rsid w:val="00283532"/>
    <w:rsid w:val="00283E2E"/>
    <w:rsid w:val="00286831"/>
    <w:rsid w:val="0028711E"/>
    <w:rsid w:val="00287A7F"/>
    <w:rsid w:val="00290477"/>
    <w:rsid w:val="00295270"/>
    <w:rsid w:val="00297106"/>
    <w:rsid w:val="002971AA"/>
    <w:rsid w:val="002A16F8"/>
    <w:rsid w:val="002A2E7B"/>
    <w:rsid w:val="002A70F0"/>
    <w:rsid w:val="002B1EE7"/>
    <w:rsid w:val="002C1EF6"/>
    <w:rsid w:val="002C4082"/>
    <w:rsid w:val="002C6635"/>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56249"/>
    <w:rsid w:val="00361092"/>
    <w:rsid w:val="003730EF"/>
    <w:rsid w:val="0037552C"/>
    <w:rsid w:val="0037629E"/>
    <w:rsid w:val="0037719E"/>
    <w:rsid w:val="00383177"/>
    <w:rsid w:val="00393247"/>
    <w:rsid w:val="00395015"/>
    <w:rsid w:val="003A5C51"/>
    <w:rsid w:val="003A6756"/>
    <w:rsid w:val="003B1A22"/>
    <w:rsid w:val="003B1E9A"/>
    <w:rsid w:val="003B5CD6"/>
    <w:rsid w:val="003C1556"/>
    <w:rsid w:val="003C1C5D"/>
    <w:rsid w:val="003C4B25"/>
    <w:rsid w:val="003D09AA"/>
    <w:rsid w:val="003D49F3"/>
    <w:rsid w:val="003D7733"/>
    <w:rsid w:val="003F1487"/>
    <w:rsid w:val="003F1522"/>
    <w:rsid w:val="003F191A"/>
    <w:rsid w:val="003F2284"/>
    <w:rsid w:val="003F30D6"/>
    <w:rsid w:val="003F697E"/>
    <w:rsid w:val="003F74C5"/>
    <w:rsid w:val="003F7F9E"/>
    <w:rsid w:val="00401136"/>
    <w:rsid w:val="00403769"/>
    <w:rsid w:val="00406447"/>
    <w:rsid w:val="004074EE"/>
    <w:rsid w:val="004077CE"/>
    <w:rsid w:val="004114C7"/>
    <w:rsid w:val="00411F7D"/>
    <w:rsid w:val="004132AD"/>
    <w:rsid w:val="00413B0F"/>
    <w:rsid w:val="00415988"/>
    <w:rsid w:val="004163CF"/>
    <w:rsid w:val="0041785F"/>
    <w:rsid w:val="004226F0"/>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7506D"/>
    <w:rsid w:val="00482878"/>
    <w:rsid w:val="0048287D"/>
    <w:rsid w:val="0048475F"/>
    <w:rsid w:val="00491971"/>
    <w:rsid w:val="004976F2"/>
    <w:rsid w:val="004A5FD9"/>
    <w:rsid w:val="004A7071"/>
    <w:rsid w:val="004B0216"/>
    <w:rsid w:val="004B10DE"/>
    <w:rsid w:val="004B17E2"/>
    <w:rsid w:val="004B31A5"/>
    <w:rsid w:val="004B4D17"/>
    <w:rsid w:val="004B6AA1"/>
    <w:rsid w:val="004C38C3"/>
    <w:rsid w:val="004C563D"/>
    <w:rsid w:val="004C7383"/>
    <w:rsid w:val="004C74AF"/>
    <w:rsid w:val="004D10CC"/>
    <w:rsid w:val="004D1CEB"/>
    <w:rsid w:val="004D2059"/>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1BFD"/>
    <w:rsid w:val="0052219A"/>
    <w:rsid w:val="00522CAB"/>
    <w:rsid w:val="005241C8"/>
    <w:rsid w:val="0052581A"/>
    <w:rsid w:val="00532DB1"/>
    <w:rsid w:val="00541C13"/>
    <w:rsid w:val="00542513"/>
    <w:rsid w:val="005433FA"/>
    <w:rsid w:val="00545B4A"/>
    <w:rsid w:val="00545B6C"/>
    <w:rsid w:val="00552732"/>
    <w:rsid w:val="00555E44"/>
    <w:rsid w:val="005575FA"/>
    <w:rsid w:val="00560550"/>
    <w:rsid w:val="00564D25"/>
    <w:rsid w:val="00566CF0"/>
    <w:rsid w:val="0057505D"/>
    <w:rsid w:val="00575E8D"/>
    <w:rsid w:val="00577288"/>
    <w:rsid w:val="00583C42"/>
    <w:rsid w:val="00585607"/>
    <w:rsid w:val="005915BB"/>
    <w:rsid w:val="00593BA2"/>
    <w:rsid w:val="00594CE5"/>
    <w:rsid w:val="005950C4"/>
    <w:rsid w:val="005A10D4"/>
    <w:rsid w:val="005A4001"/>
    <w:rsid w:val="005B0E5B"/>
    <w:rsid w:val="005B4B64"/>
    <w:rsid w:val="005B772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E17"/>
    <w:rsid w:val="00602F9F"/>
    <w:rsid w:val="00603CCA"/>
    <w:rsid w:val="00604F48"/>
    <w:rsid w:val="00610534"/>
    <w:rsid w:val="0061135E"/>
    <w:rsid w:val="0061454B"/>
    <w:rsid w:val="00620158"/>
    <w:rsid w:val="00625E30"/>
    <w:rsid w:val="00630BF2"/>
    <w:rsid w:val="006326B2"/>
    <w:rsid w:val="006339DA"/>
    <w:rsid w:val="00634B5D"/>
    <w:rsid w:val="00634E0E"/>
    <w:rsid w:val="00643F10"/>
    <w:rsid w:val="006449C9"/>
    <w:rsid w:val="00647526"/>
    <w:rsid w:val="00652D9A"/>
    <w:rsid w:val="0065698D"/>
    <w:rsid w:val="00657C7A"/>
    <w:rsid w:val="0066119A"/>
    <w:rsid w:val="00664529"/>
    <w:rsid w:val="00665700"/>
    <w:rsid w:val="00666EB6"/>
    <w:rsid w:val="006677BB"/>
    <w:rsid w:val="006731F3"/>
    <w:rsid w:val="006763E9"/>
    <w:rsid w:val="00676DAD"/>
    <w:rsid w:val="006810D2"/>
    <w:rsid w:val="00682662"/>
    <w:rsid w:val="00685EC0"/>
    <w:rsid w:val="00690466"/>
    <w:rsid w:val="00691624"/>
    <w:rsid w:val="00691AA7"/>
    <w:rsid w:val="006A3181"/>
    <w:rsid w:val="006A39AE"/>
    <w:rsid w:val="006A6639"/>
    <w:rsid w:val="006B2D0A"/>
    <w:rsid w:val="006B5B69"/>
    <w:rsid w:val="006B5BD4"/>
    <w:rsid w:val="006B6B15"/>
    <w:rsid w:val="006C20C4"/>
    <w:rsid w:val="006C7C34"/>
    <w:rsid w:val="006D151A"/>
    <w:rsid w:val="006D1813"/>
    <w:rsid w:val="006D2AC9"/>
    <w:rsid w:val="006D5962"/>
    <w:rsid w:val="006E27D1"/>
    <w:rsid w:val="006E5407"/>
    <w:rsid w:val="006E5B76"/>
    <w:rsid w:val="006E7D43"/>
    <w:rsid w:val="006F30A0"/>
    <w:rsid w:val="0070422F"/>
    <w:rsid w:val="00704408"/>
    <w:rsid w:val="007045A8"/>
    <w:rsid w:val="00712CDD"/>
    <w:rsid w:val="00712DC4"/>
    <w:rsid w:val="0071353D"/>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27B1"/>
    <w:rsid w:val="00764CCE"/>
    <w:rsid w:val="00767213"/>
    <w:rsid w:val="0077286C"/>
    <w:rsid w:val="00773DC4"/>
    <w:rsid w:val="00776F25"/>
    <w:rsid w:val="007803A2"/>
    <w:rsid w:val="00782D8E"/>
    <w:rsid w:val="007837C7"/>
    <w:rsid w:val="00787E14"/>
    <w:rsid w:val="00797CEE"/>
    <w:rsid w:val="007A063B"/>
    <w:rsid w:val="007A7AB2"/>
    <w:rsid w:val="007B149C"/>
    <w:rsid w:val="007B23E4"/>
    <w:rsid w:val="007C0B18"/>
    <w:rsid w:val="007C2EF2"/>
    <w:rsid w:val="007C3BC8"/>
    <w:rsid w:val="007C4779"/>
    <w:rsid w:val="007C51DD"/>
    <w:rsid w:val="007C52AF"/>
    <w:rsid w:val="007C7EDF"/>
    <w:rsid w:val="007E0620"/>
    <w:rsid w:val="007E0821"/>
    <w:rsid w:val="007E264A"/>
    <w:rsid w:val="007E2E1A"/>
    <w:rsid w:val="007E4883"/>
    <w:rsid w:val="007F20CE"/>
    <w:rsid w:val="007F4DC3"/>
    <w:rsid w:val="007F72E1"/>
    <w:rsid w:val="008016A0"/>
    <w:rsid w:val="00805A8C"/>
    <w:rsid w:val="0081079F"/>
    <w:rsid w:val="00811F16"/>
    <w:rsid w:val="00812433"/>
    <w:rsid w:val="008128DB"/>
    <w:rsid w:val="008165F9"/>
    <w:rsid w:val="00817248"/>
    <w:rsid w:val="00817FB2"/>
    <w:rsid w:val="008218E2"/>
    <w:rsid w:val="00825B89"/>
    <w:rsid w:val="00825DCB"/>
    <w:rsid w:val="00830043"/>
    <w:rsid w:val="0083419C"/>
    <w:rsid w:val="00834DE3"/>
    <w:rsid w:val="00842FC0"/>
    <w:rsid w:val="008440E1"/>
    <w:rsid w:val="00845C8A"/>
    <w:rsid w:val="00845DEA"/>
    <w:rsid w:val="0084641A"/>
    <w:rsid w:val="008523D5"/>
    <w:rsid w:val="0085748E"/>
    <w:rsid w:val="008576A8"/>
    <w:rsid w:val="00863AA6"/>
    <w:rsid w:val="00864238"/>
    <w:rsid w:val="00873F20"/>
    <w:rsid w:val="008751B4"/>
    <w:rsid w:val="00876ABB"/>
    <w:rsid w:val="00882664"/>
    <w:rsid w:val="00887CFE"/>
    <w:rsid w:val="00887F64"/>
    <w:rsid w:val="00892BE1"/>
    <w:rsid w:val="00892FED"/>
    <w:rsid w:val="0089369E"/>
    <w:rsid w:val="0089383E"/>
    <w:rsid w:val="00895B54"/>
    <w:rsid w:val="0089695F"/>
    <w:rsid w:val="008A5D84"/>
    <w:rsid w:val="008B36BD"/>
    <w:rsid w:val="008B473A"/>
    <w:rsid w:val="008B55E3"/>
    <w:rsid w:val="008C226A"/>
    <w:rsid w:val="008C3CEF"/>
    <w:rsid w:val="008C3DE9"/>
    <w:rsid w:val="008C4571"/>
    <w:rsid w:val="008C48B7"/>
    <w:rsid w:val="008C5D0F"/>
    <w:rsid w:val="008D29D3"/>
    <w:rsid w:val="008D4AFB"/>
    <w:rsid w:val="008D511C"/>
    <w:rsid w:val="008E0B00"/>
    <w:rsid w:val="008E12D8"/>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1CD2"/>
    <w:rsid w:val="0095458B"/>
    <w:rsid w:val="00954AEC"/>
    <w:rsid w:val="00955B10"/>
    <w:rsid w:val="00963AFB"/>
    <w:rsid w:val="00965FE1"/>
    <w:rsid w:val="009661B0"/>
    <w:rsid w:val="00966569"/>
    <w:rsid w:val="00966906"/>
    <w:rsid w:val="009669EC"/>
    <w:rsid w:val="00967CC9"/>
    <w:rsid w:val="00972AAC"/>
    <w:rsid w:val="00975516"/>
    <w:rsid w:val="00977BBB"/>
    <w:rsid w:val="00985517"/>
    <w:rsid w:val="00985612"/>
    <w:rsid w:val="009938ED"/>
    <w:rsid w:val="009A0FD5"/>
    <w:rsid w:val="009A405A"/>
    <w:rsid w:val="009A4411"/>
    <w:rsid w:val="009B7330"/>
    <w:rsid w:val="009C0ACC"/>
    <w:rsid w:val="009C38E7"/>
    <w:rsid w:val="009C6E39"/>
    <w:rsid w:val="009D11CF"/>
    <w:rsid w:val="009D3D40"/>
    <w:rsid w:val="009D4DBA"/>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11A"/>
    <w:rsid w:val="00A92227"/>
    <w:rsid w:val="00AA36EE"/>
    <w:rsid w:val="00AA60EA"/>
    <w:rsid w:val="00AA61B3"/>
    <w:rsid w:val="00AA7495"/>
    <w:rsid w:val="00AB5F1A"/>
    <w:rsid w:val="00AB6F51"/>
    <w:rsid w:val="00AB701F"/>
    <w:rsid w:val="00AC0E27"/>
    <w:rsid w:val="00AC59FF"/>
    <w:rsid w:val="00AC63CE"/>
    <w:rsid w:val="00AC644A"/>
    <w:rsid w:val="00AD4B91"/>
    <w:rsid w:val="00AE052B"/>
    <w:rsid w:val="00AE55BF"/>
    <w:rsid w:val="00AE57F7"/>
    <w:rsid w:val="00AF04C7"/>
    <w:rsid w:val="00AF188F"/>
    <w:rsid w:val="00AF5EB7"/>
    <w:rsid w:val="00AF6208"/>
    <w:rsid w:val="00AF71DD"/>
    <w:rsid w:val="00B04F39"/>
    <w:rsid w:val="00B07BB7"/>
    <w:rsid w:val="00B13B51"/>
    <w:rsid w:val="00B250D5"/>
    <w:rsid w:val="00B26CFB"/>
    <w:rsid w:val="00B32D49"/>
    <w:rsid w:val="00B4455E"/>
    <w:rsid w:val="00B4464E"/>
    <w:rsid w:val="00B44CFE"/>
    <w:rsid w:val="00B46189"/>
    <w:rsid w:val="00B467A6"/>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4C41"/>
    <w:rsid w:val="00B77417"/>
    <w:rsid w:val="00B843DF"/>
    <w:rsid w:val="00B8510F"/>
    <w:rsid w:val="00B85A59"/>
    <w:rsid w:val="00B92FD5"/>
    <w:rsid w:val="00B93A99"/>
    <w:rsid w:val="00B94AB5"/>
    <w:rsid w:val="00B95CD3"/>
    <w:rsid w:val="00B9786F"/>
    <w:rsid w:val="00BA1E62"/>
    <w:rsid w:val="00BA633E"/>
    <w:rsid w:val="00BB39E9"/>
    <w:rsid w:val="00BC02B0"/>
    <w:rsid w:val="00BC1CCC"/>
    <w:rsid w:val="00BC740F"/>
    <w:rsid w:val="00BD0CC3"/>
    <w:rsid w:val="00BD12AC"/>
    <w:rsid w:val="00BD34F9"/>
    <w:rsid w:val="00BD57B1"/>
    <w:rsid w:val="00BD64D2"/>
    <w:rsid w:val="00BE4B38"/>
    <w:rsid w:val="00BE4D1B"/>
    <w:rsid w:val="00BF69E7"/>
    <w:rsid w:val="00BF7D26"/>
    <w:rsid w:val="00C00EEC"/>
    <w:rsid w:val="00C02438"/>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0DF2"/>
    <w:rsid w:val="00CA1C76"/>
    <w:rsid w:val="00CA280A"/>
    <w:rsid w:val="00CA315B"/>
    <w:rsid w:val="00CB1753"/>
    <w:rsid w:val="00CB7F8E"/>
    <w:rsid w:val="00CC00D8"/>
    <w:rsid w:val="00CC1F1A"/>
    <w:rsid w:val="00CC2C63"/>
    <w:rsid w:val="00CC308A"/>
    <w:rsid w:val="00CC5C27"/>
    <w:rsid w:val="00CC6376"/>
    <w:rsid w:val="00CD51AF"/>
    <w:rsid w:val="00CD566B"/>
    <w:rsid w:val="00CD6467"/>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0BD4"/>
    <w:rsid w:val="00D63F57"/>
    <w:rsid w:val="00D64441"/>
    <w:rsid w:val="00D74E12"/>
    <w:rsid w:val="00D81F6F"/>
    <w:rsid w:val="00D82E74"/>
    <w:rsid w:val="00D87F0D"/>
    <w:rsid w:val="00D92185"/>
    <w:rsid w:val="00D936ED"/>
    <w:rsid w:val="00D95D58"/>
    <w:rsid w:val="00D97D81"/>
    <w:rsid w:val="00DA42FF"/>
    <w:rsid w:val="00DA7CF8"/>
    <w:rsid w:val="00DB4026"/>
    <w:rsid w:val="00DB4F7D"/>
    <w:rsid w:val="00DB51FB"/>
    <w:rsid w:val="00DB5BC6"/>
    <w:rsid w:val="00DB66D3"/>
    <w:rsid w:val="00DC1553"/>
    <w:rsid w:val="00DD43B0"/>
    <w:rsid w:val="00DD5520"/>
    <w:rsid w:val="00DD7378"/>
    <w:rsid w:val="00DE27BC"/>
    <w:rsid w:val="00DE540A"/>
    <w:rsid w:val="00DE5650"/>
    <w:rsid w:val="00DE6127"/>
    <w:rsid w:val="00DE7F6E"/>
    <w:rsid w:val="00DF0630"/>
    <w:rsid w:val="00DF2ACA"/>
    <w:rsid w:val="00DF5B55"/>
    <w:rsid w:val="00E003D8"/>
    <w:rsid w:val="00E005F2"/>
    <w:rsid w:val="00E0108F"/>
    <w:rsid w:val="00E043CB"/>
    <w:rsid w:val="00E045D3"/>
    <w:rsid w:val="00E1349E"/>
    <w:rsid w:val="00E1451D"/>
    <w:rsid w:val="00E16784"/>
    <w:rsid w:val="00E20796"/>
    <w:rsid w:val="00E21216"/>
    <w:rsid w:val="00E2135F"/>
    <w:rsid w:val="00E2438D"/>
    <w:rsid w:val="00E24A3F"/>
    <w:rsid w:val="00E331C0"/>
    <w:rsid w:val="00E33F2C"/>
    <w:rsid w:val="00E34134"/>
    <w:rsid w:val="00E34263"/>
    <w:rsid w:val="00E35947"/>
    <w:rsid w:val="00E36CB2"/>
    <w:rsid w:val="00E40F04"/>
    <w:rsid w:val="00E4114E"/>
    <w:rsid w:val="00E46415"/>
    <w:rsid w:val="00E4685A"/>
    <w:rsid w:val="00E46AF8"/>
    <w:rsid w:val="00E47D4D"/>
    <w:rsid w:val="00E558C9"/>
    <w:rsid w:val="00E63B32"/>
    <w:rsid w:val="00E64E02"/>
    <w:rsid w:val="00E6616F"/>
    <w:rsid w:val="00E735C3"/>
    <w:rsid w:val="00E76059"/>
    <w:rsid w:val="00E832FB"/>
    <w:rsid w:val="00E852A2"/>
    <w:rsid w:val="00E87830"/>
    <w:rsid w:val="00E92C32"/>
    <w:rsid w:val="00E95697"/>
    <w:rsid w:val="00E95D22"/>
    <w:rsid w:val="00EA2B3C"/>
    <w:rsid w:val="00EA4CE7"/>
    <w:rsid w:val="00EB0DA4"/>
    <w:rsid w:val="00EB3575"/>
    <w:rsid w:val="00EB4152"/>
    <w:rsid w:val="00EB63D8"/>
    <w:rsid w:val="00EB6504"/>
    <w:rsid w:val="00EB6A0F"/>
    <w:rsid w:val="00EB78EC"/>
    <w:rsid w:val="00EC2535"/>
    <w:rsid w:val="00EC4601"/>
    <w:rsid w:val="00EC5518"/>
    <w:rsid w:val="00EC76DA"/>
    <w:rsid w:val="00ED6687"/>
    <w:rsid w:val="00ED715D"/>
    <w:rsid w:val="00EE02E5"/>
    <w:rsid w:val="00EE126B"/>
    <w:rsid w:val="00EE7973"/>
    <w:rsid w:val="00EF0AF6"/>
    <w:rsid w:val="00EF14AE"/>
    <w:rsid w:val="00EF2136"/>
    <w:rsid w:val="00EF3564"/>
    <w:rsid w:val="00EF3F7D"/>
    <w:rsid w:val="00EF4C2B"/>
    <w:rsid w:val="00F0507B"/>
    <w:rsid w:val="00F06A51"/>
    <w:rsid w:val="00F117AC"/>
    <w:rsid w:val="00F1198B"/>
    <w:rsid w:val="00F120D3"/>
    <w:rsid w:val="00F124D1"/>
    <w:rsid w:val="00F13A97"/>
    <w:rsid w:val="00F151A0"/>
    <w:rsid w:val="00F22F38"/>
    <w:rsid w:val="00F2498D"/>
    <w:rsid w:val="00F2538D"/>
    <w:rsid w:val="00F259D8"/>
    <w:rsid w:val="00F26244"/>
    <w:rsid w:val="00F26D58"/>
    <w:rsid w:val="00F31234"/>
    <w:rsid w:val="00F31368"/>
    <w:rsid w:val="00F329E5"/>
    <w:rsid w:val="00F32EF1"/>
    <w:rsid w:val="00F33BD6"/>
    <w:rsid w:val="00F342CC"/>
    <w:rsid w:val="00F40933"/>
    <w:rsid w:val="00F42E1E"/>
    <w:rsid w:val="00F47190"/>
    <w:rsid w:val="00F51F15"/>
    <w:rsid w:val="00F558B4"/>
    <w:rsid w:val="00F55A37"/>
    <w:rsid w:val="00F611EB"/>
    <w:rsid w:val="00F711E2"/>
    <w:rsid w:val="00F726B8"/>
    <w:rsid w:val="00F7536B"/>
    <w:rsid w:val="00F8408F"/>
    <w:rsid w:val="00F906EF"/>
    <w:rsid w:val="00F9288C"/>
    <w:rsid w:val="00FA1742"/>
    <w:rsid w:val="00FA239A"/>
    <w:rsid w:val="00FA27C0"/>
    <w:rsid w:val="00FA4143"/>
    <w:rsid w:val="00FA57CA"/>
    <w:rsid w:val="00FA62B9"/>
    <w:rsid w:val="00FA69D3"/>
    <w:rsid w:val="00FA7C74"/>
    <w:rsid w:val="00FB00A5"/>
    <w:rsid w:val="00FB022C"/>
    <w:rsid w:val="00FB3892"/>
    <w:rsid w:val="00FB4C7C"/>
    <w:rsid w:val="00FC118E"/>
    <w:rsid w:val="00FC1207"/>
    <w:rsid w:val="00FC2706"/>
    <w:rsid w:val="00FC2C02"/>
    <w:rsid w:val="00FC4BB5"/>
    <w:rsid w:val="00FD01AC"/>
    <w:rsid w:val="00FD1C75"/>
    <w:rsid w:val="00FD21BC"/>
    <w:rsid w:val="00FD304B"/>
    <w:rsid w:val="00FD7E2A"/>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TableofFigures">
    <w:name w:val="table of figures"/>
    <w:basedOn w:val="BodyText"/>
    <w:next w:val="Normal"/>
    <w:uiPriority w:val="99"/>
    <w:rsid w:val="007C7EDF"/>
    <w:pPr>
      <w:spacing w:line="259" w:lineRule="auto"/>
      <w:ind w:left="1701" w:hanging="1701"/>
    </w:pPr>
    <w:rPr>
      <w:rFonts w:eastAsiaTheme="minorHAnsi" w:cstheme="minorBidi"/>
      <w:b/>
      <w:sz w:val="22"/>
      <w:lang w:eastAsia="zh-CN"/>
    </w:rPr>
  </w:style>
  <w:style w:type="paragraph" w:styleId="BodyText">
    <w:name w:val="Body Text"/>
    <w:basedOn w:val="Normal"/>
    <w:link w:val="BodyTextChar"/>
    <w:uiPriority w:val="99"/>
    <w:semiHidden/>
    <w:unhideWhenUsed/>
    <w:rsid w:val="007C7EDF"/>
    <w:pPr>
      <w:spacing w:after="120"/>
    </w:pPr>
  </w:style>
  <w:style w:type="character" w:customStyle="1" w:styleId="BodyTextChar">
    <w:name w:val="Body Text Char"/>
    <w:basedOn w:val="DefaultParagraphFont"/>
    <w:link w:val="BodyText"/>
    <w:uiPriority w:val="99"/>
    <w:semiHidden/>
    <w:rsid w:val="007C7EDF"/>
    <w:rPr>
      <w:rFonts w:ascii="Arial" w:hAnsi="Arial"/>
      <w:szCs w:val="22"/>
      <w:lang w:val="en-US" w:eastAsia="en-US"/>
    </w:rPr>
  </w:style>
  <w:style w:type="character" w:customStyle="1" w:styleId="B1Char1">
    <w:name w:val="B1 Char1"/>
    <w:qFormat/>
    <w:rsid w:val="007627B1"/>
    <w:rPr>
      <w:rFonts w:eastAsia="Times New Roman"/>
    </w:rPr>
  </w:style>
  <w:style w:type="paragraph" w:customStyle="1" w:styleId="B2">
    <w:name w:val="B2"/>
    <w:basedOn w:val="List2"/>
    <w:link w:val="B2Char"/>
    <w:qFormat/>
    <w:rsid w:val="007627B1"/>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7627B1"/>
    <w:rPr>
      <w:rFonts w:ascii="Times New Roman" w:eastAsia="Times New Roman" w:hAnsi="Times New Roman"/>
      <w:lang w:val="x-none" w:eastAsia="x-none"/>
    </w:rPr>
  </w:style>
  <w:style w:type="paragraph" w:styleId="List2">
    <w:name w:val="List 2"/>
    <w:basedOn w:val="Normal"/>
    <w:uiPriority w:val="99"/>
    <w:semiHidden/>
    <w:unhideWhenUsed/>
    <w:rsid w:val="007627B1"/>
    <w:pPr>
      <w:ind w:left="566" w:hanging="283"/>
      <w:contextualSpacing/>
    </w:pPr>
  </w:style>
  <w:style w:type="paragraph" w:customStyle="1" w:styleId="TAL">
    <w:name w:val="TAL"/>
    <w:basedOn w:val="Normal"/>
    <w:link w:val="TALCar"/>
    <w:qFormat/>
    <w:rsid w:val="00AF04C7"/>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AF04C7"/>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34137117">
      <w:bodyDiv w:val="1"/>
      <w:marLeft w:val="0"/>
      <w:marRight w:val="0"/>
      <w:marTop w:val="0"/>
      <w:marBottom w:val="0"/>
      <w:divBdr>
        <w:top w:val="none" w:sz="0" w:space="0" w:color="auto"/>
        <w:left w:val="none" w:sz="0" w:space="0" w:color="auto"/>
        <w:bottom w:val="none" w:sz="0" w:space="0" w:color="auto"/>
        <w:right w:val="none" w:sz="0" w:space="0" w:color="auto"/>
      </w:divBdr>
      <w:divsChild>
        <w:div w:id="474102071">
          <w:marLeft w:val="274"/>
          <w:marRight w:val="0"/>
          <w:marTop w:val="48"/>
          <w:marBottom w:val="0"/>
          <w:divBdr>
            <w:top w:val="none" w:sz="0" w:space="0" w:color="auto"/>
            <w:left w:val="none" w:sz="0" w:space="0" w:color="auto"/>
            <w:bottom w:val="none" w:sz="0" w:space="0" w:color="auto"/>
            <w:right w:val="none" w:sz="0" w:space="0" w:color="auto"/>
          </w:divBdr>
        </w:div>
        <w:div w:id="558712806">
          <w:marLeft w:val="835"/>
          <w:marRight w:val="0"/>
          <w:marTop w:val="43"/>
          <w:marBottom w:val="0"/>
          <w:divBdr>
            <w:top w:val="none" w:sz="0" w:space="0" w:color="auto"/>
            <w:left w:val="none" w:sz="0" w:space="0" w:color="auto"/>
            <w:bottom w:val="none" w:sz="0" w:space="0" w:color="auto"/>
            <w:right w:val="none" w:sz="0" w:space="0" w:color="auto"/>
          </w:divBdr>
        </w:div>
        <w:div w:id="2145847290">
          <w:marLeft w:val="835"/>
          <w:marRight w:val="0"/>
          <w:marTop w:val="43"/>
          <w:marBottom w:val="0"/>
          <w:divBdr>
            <w:top w:val="none" w:sz="0" w:space="0" w:color="auto"/>
            <w:left w:val="none" w:sz="0" w:space="0" w:color="auto"/>
            <w:bottom w:val="none" w:sz="0" w:space="0" w:color="auto"/>
            <w:right w:val="none" w:sz="0" w:space="0" w:color="auto"/>
          </w:divBdr>
        </w:div>
        <w:div w:id="495537796">
          <w:marLeft w:val="835"/>
          <w:marRight w:val="0"/>
          <w:marTop w:val="43"/>
          <w:marBottom w:val="0"/>
          <w:divBdr>
            <w:top w:val="none" w:sz="0" w:space="0" w:color="auto"/>
            <w:left w:val="none" w:sz="0" w:space="0" w:color="auto"/>
            <w:bottom w:val="none" w:sz="0" w:space="0" w:color="auto"/>
            <w:right w:val="none" w:sz="0" w:space="0" w:color="auto"/>
          </w:divBdr>
        </w:div>
        <w:div w:id="1758284764">
          <w:marLeft w:val="835"/>
          <w:marRight w:val="0"/>
          <w:marTop w:val="43"/>
          <w:marBottom w:val="0"/>
          <w:divBdr>
            <w:top w:val="none" w:sz="0" w:space="0" w:color="auto"/>
            <w:left w:val="none" w:sz="0" w:space="0" w:color="auto"/>
            <w:bottom w:val="none" w:sz="0" w:space="0" w:color="auto"/>
            <w:right w:val="none" w:sz="0" w:space="0" w:color="auto"/>
          </w:divBdr>
        </w:div>
        <w:div w:id="389232265">
          <w:marLeft w:val="274"/>
          <w:marRight w:val="0"/>
          <w:marTop w:val="48"/>
          <w:marBottom w:val="0"/>
          <w:divBdr>
            <w:top w:val="none" w:sz="0" w:space="0" w:color="auto"/>
            <w:left w:val="none" w:sz="0" w:space="0" w:color="auto"/>
            <w:bottom w:val="none" w:sz="0" w:space="0" w:color="auto"/>
            <w:right w:val="none" w:sz="0" w:space="0" w:color="auto"/>
          </w:divBdr>
        </w:div>
        <w:div w:id="512719377">
          <w:marLeft w:val="835"/>
          <w:marRight w:val="0"/>
          <w:marTop w:val="43"/>
          <w:marBottom w:val="0"/>
          <w:divBdr>
            <w:top w:val="none" w:sz="0" w:space="0" w:color="auto"/>
            <w:left w:val="none" w:sz="0" w:space="0" w:color="auto"/>
            <w:bottom w:val="none" w:sz="0" w:space="0" w:color="auto"/>
            <w:right w:val="none" w:sz="0" w:space="0" w:color="auto"/>
          </w:divBdr>
        </w:div>
        <w:div w:id="1060594588">
          <w:marLeft w:val="835"/>
          <w:marRight w:val="0"/>
          <w:marTop w:val="43"/>
          <w:marBottom w:val="0"/>
          <w:divBdr>
            <w:top w:val="none" w:sz="0" w:space="0" w:color="auto"/>
            <w:left w:val="none" w:sz="0" w:space="0" w:color="auto"/>
            <w:bottom w:val="none" w:sz="0" w:space="0" w:color="auto"/>
            <w:right w:val="none" w:sz="0" w:space="0" w:color="auto"/>
          </w:divBdr>
        </w:div>
        <w:div w:id="1225525299">
          <w:marLeft w:val="835"/>
          <w:marRight w:val="0"/>
          <w:marTop w:val="43"/>
          <w:marBottom w:val="0"/>
          <w:divBdr>
            <w:top w:val="none" w:sz="0" w:space="0" w:color="auto"/>
            <w:left w:val="none" w:sz="0" w:space="0" w:color="auto"/>
            <w:bottom w:val="none" w:sz="0" w:space="0" w:color="auto"/>
            <w:right w:val="none" w:sz="0" w:space="0" w:color="auto"/>
          </w:divBdr>
        </w:div>
        <w:div w:id="501940303">
          <w:marLeft w:val="835"/>
          <w:marRight w:val="0"/>
          <w:marTop w:val="43"/>
          <w:marBottom w:val="0"/>
          <w:divBdr>
            <w:top w:val="none" w:sz="0" w:space="0" w:color="auto"/>
            <w:left w:val="none" w:sz="0" w:space="0" w:color="auto"/>
            <w:bottom w:val="none" w:sz="0" w:space="0" w:color="auto"/>
            <w:right w:val="none" w:sz="0" w:space="0" w:color="auto"/>
          </w:divBdr>
        </w:div>
        <w:div w:id="1797601381">
          <w:marLeft w:val="274"/>
          <w:marRight w:val="0"/>
          <w:marTop w:val="48"/>
          <w:marBottom w:val="0"/>
          <w:divBdr>
            <w:top w:val="none" w:sz="0" w:space="0" w:color="auto"/>
            <w:left w:val="none" w:sz="0" w:space="0" w:color="auto"/>
            <w:bottom w:val="none" w:sz="0" w:space="0" w:color="auto"/>
            <w:right w:val="none" w:sz="0" w:space="0" w:color="auto"/>
          </w:divBdr>
        </w:div>
        <w:div w:id="746270827">
          <w:marLeft w:val="835"/>
          <w:marRight w:val="0"/>
          <w:marTop w:val="43"/>
          <w:marBottom w:val="0"/>
          <w:divBdr>
            <w:top w:val="none" w:sz="0" w:space="0" w:color="auto"/>
            <w:left w:val="none" w:sz="0" w:space="0" w:color="auto"/>
            <w:bottom w:val="none" w:sz="0" w:space="0" w:color="auto"/>
            <w:right w:val="none" w:sz="0" w:space="0" w:color="auto"/>
          </w:divBdr>
        </w:div>
        <w:div w:id="324356613">
          <w:marLeft w:val="835"/>
          <w:marRight w:val="0"/>
          <w:marTop w:val="43"/>
          <w:marBottom w:val="0"/>
          <w:divBdr>
            <w:top w:val="none" w:sz="0" w:space="0" w:color="auto"/>
            <w:left w:val="none" w:sz="0" w:space="0" w:color="auto"/>
            <w:bottom w:val="none" w:sz="0" w:space="0" w:color="auto"/>
            <w:right w:val="none" w:sz="0" w:space="0" w:color="auto"/>
          </w:divBdr>
        </w:div>
        <w:div w:id="1690522495">
          <w:marLeft w:val="835"/>
          <w:marRight w:val="0"/>
          <w:marTop w:val="43"/>
          <w:marBottom w:val="0"/>
          <w:divBdr>
            <w:top w:val="none" w:sz="0" w:space="0" w:color="auto"/>
            <w:left w:val="none" w:sz="0" w:space="0" w:color="auto"/>
            <w:bottom w:val="none" w:sz="0" w:space="0" w:color="auto"/>
            <w:right w:val="none" w:sz="0" w:space="0" w:color="auto"/>
          </w:divBdr>
        </w:div>
        <w:div w:id="1079521809">
          <w:marLeft w:val="835"/>
          <w:marRight w:val="0"/>
          <w:marTop w:val="43"/>
          <w:marBottom w:val="0"/>
          <w:divBdr>
            <w:top w:val="none" w:sz="0" w:space="0" w:color="auto"/>
            <w:left w:val="none" w:sz="0" w:space="0" w:color="auto"/>
            <w:bottom w:val="none" w:sz="0" w:space="0" w:color="auto"/>
            <w:right w:val="none" w:sz="0" w:space="0" w:color="auto"/>
          </w:divBdr>
        </w:div>
        <w:div w:id="1354650555">
          <w:marLeft w:val="1411"/>
          <w:marRight w:val="0"/>
          <w:marTop w:val="38"/>
          <w:marBottom w:val="0"/>
          <w:divBdr>
            <w:top w:val="none" w:sz="0" w:space="0" w:color="auto"/>
            <w:left w:val="none" w:sz="0" w:space="0" w:color="auto"/>
            <w:bottom w:val="none" w:sz="0" w:space="0" w:color="auto"/>
            <w:right w:val="none" w:sz="0" w:space="0" w:color="auto"/>
          </w:divBdr>
        </w:div>
        <w:div w:id="1631664458">
          <w:marLeft w:val="1411"/>
          <w:marRight w:val="0"/>
          <w:marTop w:val="38"/>
          <w:marBottom w:val="0"/>
          <w:divBdr>
            <w:top w:val="none" w:sz="0" w:space="0" w:color="auto"/>
            <w:left w:val="none" w:sz="0" w:space="0" w:color="auto"/>
            <w:bottom w:val="none" w:sz="0" w:space="0" w:color="auto"/>
            <w:right w:val="none" w:sz="0" w:space="0" w:color="auto"/>
          </w:divBdr>
        </w:div>
        <w:div w:id="2013490581">
          <w:marLeft w:val="835"/>
          <w:marRight w:val="0"/>
          <w:marTop w:val="43"/>
          <w:marBottom w:val="0"/>
          <w:divBdr>
            <w:top w:val="none" w:sz="0" w:space="0" w:color="auto"/>
            <w:left w:val="none" w:sz="0" w:space="0" w:color="auto"/>
            <w:bottom w:val="none" w:sz="0" w:space="0" w:color="auto"/>
            <w:right w:val="none" w:sz="0" w:space="0" w:color="auto"/>
          </w:divBdr>
        </w:div>
        <w:div w:id="291837158">
          <w:marLeft w:val="1411"/>
          <w:marRight w:val="0"/>
          <w:marTop w:val="38"/>
          <w:marBottom w:val="0"/>
          <w:divBdr>
            <w:top w:val="none" w:sz="0" w:space="0" w:color="auto"/>
            <w:left w:val="none" w:sz="0" w:space="0" w:color="auto"/>
            <w:bottom w:val="none" w:sz="0" w:space="0" w:color="auto"/>
            <w:right w:val="none" w:sz="0" w:space="0" w:color="auto"/>
          </w:divBdr>
        </w:div>
        <w:div w:id="332804437">
          <w:marLeft w:val="274"/>
          <w:marRight w:val="0"/>
          <w:marTop w:val="48"/>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80/Docs/RP-1814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cp:revision>
  <cp:lastPrinted>2009-10-21T14:47:00Z</cp:lastPrinted>
  <dcterms:created xsi:type="dcterms:W3CDTF">2019-02-11T07:43:00Z</dcterms:created>
  <dcterms:modified xsi:type="dcterms:W3CDTF">2019-02-15T03:46:00Z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